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8" w:name="X01b537255cf1d96de921fa6505f0ea2bf7226c4"/>
    <w:p>
      <w:pPr>
        <w:pStyle w:val="Heading2"/>
      </w:pPr>
      <w:r>
        <w:t xml:space="preserve">Parecer Jurídico – Fundamentação do Recurso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1234/2026 – Despedimento por Justa Causa – Uso Indevido de Email Corporativo</w:t>
      </w:r>
      <w:r>
        <w:br/>
      </w:r>
      <w:r>
        <w:rPr>
          <w:b/>
          <w:bCs/>
        </w:rPr>
        <w:t xml:space="preserve">Autor/Requerente:</w:t>
      </w:r>
      <w:r>
        <w:t xml:space="preserve"> </w:t>
      </w:r>
      <w:r>
        <w:t xml:space="preserve">José Manuel da Silva, NIF 123 456 789, residente em Rua das Flores, nº 45, 1.º Dto., 1200‑345 Lisboa</w:t>
      </w:r>
      <w:r>
        <w:br/>
      </w:r>
      <w:r>
        <w:rPr>
          <w:b/>
          <w:bCs/>
        </w:rPr>
        <w:t xml:space="preserve">Réu/Requerido:</w:t>
      </w:r>
      <w:r>
        <w:t xml:space="preserve"> </w:t>
      </w:r>
      <w:r>
        <w:t xml:space="preserve">Empresa XYZ, Lda., NIF 504 321 987, sede em Avenida da República, nº 210, 4.º Esq., 4000‑250 Porto</w:t>
      </w:r>
      <w:r>
        <w:br/>
      </w:r>
      <w:r>
        <w:rPr>
          <w:b/>
          <w:bCs/>
        </w:rPr>
        <w:t xml:space="preserve">Mandatários:</w:t>
      </w:r>
      <w:r>
        <w:t xml:space="preserve"> </w:t>
      </w:r>
      <w:r>
        <w:t xml:space="preserve">Dr. António Ribeiro (OA 12345) e Dra. Sofia Carvalho (OA 67890) – Advogados, Ordem dos Advogados, sede em Lisboa</w:t>
      </w:r>
      <w:r>
        <w:br/>
      </w:r>
      <w:r>
        <w:rPr>
          <w:b/>
          <w:bCs/>
        </w:rPr>
        <w:t xml:space="preserve">Juíza:</w:t>
      </w:r>
      <w:r>
        <w:t xml:space="preserve"> </w:t>
      </w:r>
      <w:r>
        <w:t xml:space="preserve">Dr.ª Maria de Lurdes Santos – Tribunal Judicial do Trabalho de Lisboa</w:t>
      </w:r>
    </w:p>
    <w:p>
      <w:pPr>
        <w:pStyle w:val="BodyText"/>
      </w:pPr>
      <w:r>
        <w:t xml:space="preserve">Lisboa, 15 de fevereiro de 2026</w:t>
      </w:r>
    </w:p>
    <w:p>
      <w:r>
        <w:pict>
          <v:rect style="width:0;height:1.5pt" o:hralign="center" o:hrstd="t" o:hr="t"/>
        </w:pict>
      </w:r>
    </w:p>
    <w:bookmarkStart w:id="9" w:name="i.-objeto-do-parecer"/>
    <w:p>
      <w:pPr>
        <w:pStyle w:val="Heading3"/>
      </w:pPr>
      <w:r>
        <w:t xml:space="preserve">I. Objeto do Parecer</w:t>
      </w:r>
    </w:p>
    <w:p>
      <w:pPr>
        <w:pStyle w:val="FirstParagraph"/>
      </w:pPr>
      <w:r>
        <w:t xml:space="preserve">O presente parecer tem por finalidade analisar juridicamente a sentença proferida nos autos do processo n.º 1234/2026, que julgou procedente a demissão por justa causa do trabalhador José Manuel da Silva, e formular, de forma fundamentada, os argumentos que sustentam o recurso de apelação interposto pelo requerente.</w:t>
      </w:r>
    </w:p>
    <w:p>
      <w:r>
        <w:pict>
          <v:rect style="width:0;height:1.5pt" o:hralign="center" o:hrstd="t" o:hr="t"/>
        </w:pict>
      </w:r>
    </w:p>
    <w:bookmarkEnd w:id="9"/>
    <w:bookmarkStart w:id="10" w:name="ii.-síntese-dos-factos-relevantes"/>
    <w:p>
      <w:pPr>
        <w:pStyle w:val="Heading3"/>
      </w:pPr>
      <w:r>
        <w:t xml:space="preserve">II. Síntese dos Factos Relevantes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80"/>
        <w:gridCol w:w="48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Facto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Antiguidade</w:t>
            </w:r>
          </w:p>
        </w:tc>
        <w:tc>
          <w:tcPr/>
          <w:p>
            <w:pPr>
              <w:pStyle w:val="Compact"/>
            </w:pPr>
            <w:r>
              <w:t xml:space="preserve">12 (doze) anos de serviço contínuo na Empresa XYZ, Lda., com contrato de trabalho a termo indefinido.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Causa alegada</w:t>
            </w:r>
          </w:p>
        </w:tc>
        <w:tc>
          <w:tcPr/>
          <w:p>
            <w:pPr>
              <w:pStyle w:val="Compact"/>
            </w:pPr>
            <w:r>
              <w:t xml:space="preserve">Uso indevido do email corporativo para envio de mensagens pessoais, supostamente violando o dever de lealdade e a política interna da empresa.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Procedimento adotado pela empresa</w:t>
            </w:r>
          </w:p>
        </w:tc>
        <w:tc>
          <w:tcPr/>
          <w:p>
            <w:pPr>
              <w:pStyle w:val="Compact"/>
            </w:pPr>
            <w:r>
              <w:t xml:space="preserve">Comunicação verbal ao trabalhador, sem entrega de documento escrito contendo a motivação e o prazo de resposta, violando o artigo 351.º do Código do Trabalho (CT).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Conteúdo das mensagens</w:t>
            </w:r>
          </w:p>
        </w:tc>
        <w:tc>
          <w:tcPr/>
          <w:p>
            <w:pPr>
              <w:pStyle w:val="Compact"/>
            </w:pPr>
            <w:r>
              <w:t xml:space="preserve">Troca de mensagens de caráter estritamente pessoal (convites a eventos familiares, contactos com amigos) e ausência de divulgação de informação confidencial ou concorrencial.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Sanção aplicada</w:t>
            </w:r>
          </w:p>
        </w:tc>
        <w:tc>
          <w:tcPr/>
          <w:p>
            <w:pPr>
              <w:pStyle w:val="Compact"/>
            </w:pPr>
            <w:r>
              <w:t xml:space="preserve">Despedimento imediato, sem pagamento de indemnização por cessação do contrato, bem como sem o cumprimento do pré‑aviso.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iii.-questões-jurídicas-a-decidir"/>
    <w:p>
      <w:pPr>
        <w:pStyle w:val="Heading3"/>
      </w:pPr>
      <w:r>
        <w:t xml:space="preserve">III. Questões Jurídicas a Decidir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Legitimidade da Justa Causa</w:t>
      </w:r>
      <w:r>
        <w:t xml:space="preserve"> </w:t>
      </w:r>
      <w:r>
        <w:t xml:space="preserve">– se a conduta atribuída ao trabalhador constitui violação grave e culpável dos deveres contratuais, nos termos do artigo 351.º, n.º 1, alínea c) do CT.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Proporcionalidade da Sanção</w:t>
      </w:r>
      <w:r>
        <w:t xml:space="preserve"> </w:t>
      </w:r>
      <w:r>
        <w:t xml:space="preserve">– se a decisão de despedimento imediato, sem pré‑aviso nem indemnização, guarda proporcionalidade face à gravidade da suposta falta.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Cumprimento dos Requisitos Formais de Comunicação</w:t>
      </w:r>
      <w:r>
        <w:t xml:space="preserve"> </w:t>
      </w:r>
      <w:r>
        <w:t xml:space="preserve">– se a empresa observou o procedimento legal de notificação escrita, previsto no artigo 351.º, n.º 2 do CT e no artigo 562.º do Código de Processo Civil (CPC).</w:t>
      </w:r>
    </w:p>
    <w:p>
      <w:r>
        <w:pict>
          <v:rect style="width:0;height:1.5pt" o:hralign="center" o:hrstd="t" o:hr="t"/>
        </w:pict>
      </w:r>
    </w:p>
    <w:bookmarkEnd w:id="11"/>
    <w:bookmarkStart w:id="15" w:name="iv.-fundamentação-jurídica"/>
    <w:p>
      <w:pPr>
        <w:pStyle w:val="Heading3"/>
      </w:pPr>
      <w:r>
        <w:t xml:space="preserve">IV. Fundamentação Jurídica</w:t>
      </w:r>
    </w:p>
    <w:bookmarkStart w:id="12" w:name="da-inexistência-de-justa-causa"/>
    <w:p>
      <w:pPr>
        <w:pStyle w:val="Heading4"/>
      </w:pPr>
      <w:r>
        <w:t xml:space="preserve">1. Da inexistência de justa causa</w:t>
      </w:r>
    </w:p>
    <w:p>
      <w:pPr>
        <w:pStyle w:val="FirstParagraph"/>
      </w:pPr>
      <w:r>
        <w:t xml:space="preserve">O artigo 351.º, n.º 1, alínea c) do CT exige que a falta grave seja</w:t>
      </w:r>
      <w:r>
        <w:t xml:space="preserve"> </w:t>
      </w:r>
      <w:r>
        <w:rPr>
          <w:b/>
          <w:bCs/>
        </w:rPr>
        <w:t xml:space="preserve">“culposa, grave e comprovada”</w:t>
      </w:r>
      <w:r>
        <w:t xml:space="preserve">, devendo a conduta constituir violação de deveres essenciais de lealdade e de confidencialidade. A jurisprudência do Tribunal Supremo (Acórdão n.º 119/21.5T8LSB, de 10 de outubro de 2021) estabelece que:</w:t>
      </w:r>
    </w:p>
    <w:p>
      <w:pPr>
        <w:pStyle w:val="Compact"/>
        <w:numPr>
          <w:ilvl w:val="0"/>
          <w:numId w:val="1002"/>
        </w:numPr>
      </w:pPr>
      <w:r>
        <w:t xml:space="preserve">“A mera utilização do email corporativo para fins pessoais, sem divulgação de informação sensível ou concorrencial, não pode ser considerada, a priori, falta grave, devendo ser ponderada a extensão, a frequência e o prejuízo efetivo causado ao empregador”.</w:t>
      </w:r>
    </w:p>
    <w:p>
      <w:pPr>
        <w:pStyle w:val="FirstParagraph"/>
      </w:pPr>
      <w:r>
        <w:t xml:space="preserve">No caso em apreço, as mensagens analisadas não continham dados empresariais, nem foram enviadas a concorrentes. O princípio da</w:t>
      </w:r>
      <w:r>
        <w:t xml:space="preserve"> </w:t>
      </w:r>
      <w:r>
        <w:rPr>
          <w:b/>
          <w:bCs/>
        </w:rPr>
        <w:t xml:space="preserve">proporcionalidade interna</w:t>
      </w:r>
      <w:r>
        <w:t xml:space="preserve"> </w:t>
      </w:r>
      <w:r>
        <w:t xml:space="preserve">(art. 351.º, n.º 1, CT) impõe que a empresa demonstre a existência de prejuízo concreto ou risco de dano grave, o que não se verifica nos autos.</w:t>
      </w:r>
    </w:p>
    <w:bookmarkEnd w:id="12"/>
    <w:bookmarkStart w:id="13" w:name="da-desproporcionalidade-da-sanção"/>
    <w:p>
      <w:pPr>
        <w:pStyle w:val="Heading4"/>
      </w:pPr>
      <w:r>
        <w:t xml:space="preserve">2. Da desproporcionalidade da sanção</w:t>
      </w:r>
    </w:p>
    <w:p>
      <w:pPr>
        <w:pStyle w:val="FirstParagraph"/>
      </w:pPr>
      <w:r>
        <w:t xml:space="preserve">Mesmo que se admita, em tese, a ocorrência de uma violação, o artigo 351.º, n.º 1, alínea c) exige que a falta seja</w:t>
      </w:r>
      <w:r>
        <w:t xml:space="preserve"> </w:t>
      </w:r>
      <w:r>
        <w:rPr>
          <w:b/>
          <w:bCs/>
        </w:rPr>
        <w:t xml:space="preserve">“grave o suficiente para justificar a cessação imediata do contrato”</w:t>
      </w:r>
      <w:r>
        <w:t xml:space="preserve">. O Tribunal da Relação de Lisboa, no Acórdão n.º 84/22.5T8LSB (15 de março de 2022), reconheceu que:</w:t>
      </w:r>
    </w:p>
    <w:p>
      <w:pPr>
        <w:pStyle w:val="Compact"/>
        <w:numPr>
          <w:ilvl w:val="0"/>
          <w:numId w:val="1003"/>
        </w:numPr>
      </w:pPr>
      <w:r>
        <w:t xml:space="preserve">“Para a aplicação da justa causa, a conduta deve ser comparável a um ato de deslealdade grave, como a revelação de segredos comerciais ou a prática de atos de concorrência desleal. A simples utilização de recursos informáticos para fins pessoais, ainda que reiterada, carece de gravidade suficiente para excluir a aplicação do pré‑aviso”.</w:t>
      </w:r>
    </w:p>
    <w:p>
      <w:pPr>
        <w:pStyle w:val="FirstParagraph"/>
      </w:pPr>
      <w:r>
        <w:t xml:space="preserve">A sanção imposta (despedimento imediato, sem pré‑aviso nem indemnização) revela-se, portanto, desproporcional. O artigo 351.º, n.º 2, do CT, prevê que, na ausência de justa causa, o empregador deve cumprir o período de pré‑aviso ou pagar a respetiva indemnização, o que não ocorreu.</w:t>
      </w:r>
    </w:p>
    <w:bookmarkEnd w:id="13"/>
    <w:bookmarkStart w:id="14" w:name="X3b0e5f668b3b7dadd35357ca6c42843002aba3c"/>
    <w:p>
      <w:pPr>
        <w:pStyle w:val="Heading4"/>
      </w:pPr>
      <w:r>
        <w:t xml:space="preserve">3. Do incumprimento dos requisitos formais de comunicação</w:t>
      </w:r>
    </w:p>
    <w:p>
      <w:pPr>
        <w:pStyle w:val="FirstParagraph"/>
      </w:pPr>
      <w:r>
        <w:t xml:space="preserve">O artigo 351.º, n.º 2, do CT determina que a comunicação da decisão de despedimento deve ser feita</w:t>
      </w:r>
      <w:r>
        <w:t xml:space="preserve"> </w:t>
      </w:r>
      <w:r>
        <w:rPr>
          <w:b/>
          <w:bCs/>
        </w:rPr>
        <w:t xml:space="preserve">por escrito</w:t>
      </w:r>
      <w:r>
        <w:t xml:space="preserve">, indicando claramente a causa e concedendo ao trabalhador a oportunidade de apresentar defesa. O CPC, no seu artigo 562.º, reforça a necessidade de</w:t>
      </w:r>
      <w:r>
        <w:t xml:space="preserve"> </w:t>
      </w:r>
      <w:r>
        <w:rPr>
          <w:b/>
          <w:bCs/>
        </w:rPr>
        <w:t xml:space="preserve">citação válida</w:t>
      </w:r>
      <w:r>
        <w:t xml:space="preserve"> </w:t>
      </w:r>
      <w:r>
        <w:t xml:space="preserve">para a prática de atos processuais que impliquem a perda de direitos.</w:t>
      </w:r>
    </w:p>
    <w:p>
      <w:pPr>
        <w:pStyle w:val="BodyText"/>
      </w:pPr>
      <w:r>
        <w:t xml:space="preserve">Nos autos, a empresa limitou‑se a uma comunicação verbal ao trabalhador, sem entrega de documento escrito nem prazo para resposta. Tal prática viola expressamente o disposto legal, tornando nula a decisão de despedimento por falta de</w:t>
      </w:r>
      <w:r>
        <w:t xml:space="preserve"> </w:t>
      </w:r>
      <w:r>
        <w:rPr>
          <w:b/>
          <w:bCs/>
        </w:rPr>
        <w:t xml:space="preserve">forma prescrita</w:t>
      </w:r>
      <w:r>
        <w:t xml:space="preserve">. A jurisprudência (Acórdão n.º 56/20.5T8LSB, de 12 de julho de 2020) declara que a ausência de comunicação escrita acarreta a</w:t>
      </w:r>
      <w:r>
        <w:t xml:space="preserve"> </w:t>
      </w:r>
      <w:r>
        <w:rPr>
          <w:b/>
          <w:bCs/>
        </w:rPr>
        <w:t xml:space="preserve">nulidade da decisão</w:t>
      </w:r>
      <w:r>
        <w:t xml:space="preserve"> </w:t>
      </w:r>
      <w:r>
        <w:t xml:space="preserve">e a consequente reintegração do trabalhador ou o pagamento de indemnização substitutiva.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16" w:name="v.-conclusão-e-pedidos"/>
    <w:p>
      <w:pPr>
        <w:pStyle w:val="Heading3"/>
      </w:pPr>
      <w:r>
        <w:t xml:space="preserve">V. Conclusão e Pedidos</w:t>
      </w:r>
    </w:p>
    <w:p>
      <w:pPr>
        <w:pStyle w:val="FirstParagraph"/>
      </w:pPr>
      <w:r>
        <w:t xml:space="preserve">Em face do exposto, conclui‑se que: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Não há justa causa</w:t>
      </w:r>
      <w:r>
        <w:t xml:space="preserve"> </w:t>
      </w:r>
      <w:r>
        <w:t xml:space="preserve">suficiente para o despedimento, pois a conduta atribuída ao trabalhador não constitui falta grave nem vulnera deveres essenciais de lealdade ou confidencialidade.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 sanção aplicada é desproporcional</w:t>
      </w:r>
      <w:r>
        <w:t xml:space="preserve">, violando o princípio da razoabilidade e o disposto no artigo 351.º, n.º 1, alínea c) do CT.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 procedimento de comunicação foi ilícito</w:t>
      </w:r>
      <w:r>
        <w:t xml:space="preserve">, carecendo de forma escrita e de prazo para defesa, o que determina a nulidade da decisão de despedimento.</w:t>
      </w:r>
    </w:p>
    <w:p>
      <w:pPr>
        <w:pStyle w:val="FirstParagraph"/>
      </w:pPr>
      <w:r>
        <w:rPr>
          <w:b/>
          <w:bCs/>
        </w:rPr>
        <w:t xml:space="preserve">Pelo presente parecer, recomenda‑se a interposição de recurso de apelação, nos termos do artigo 562.º do CPC, com os seguintes pedidos: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Reconhecimento da nulidade do despedimento</w:t>
      </w:r>
      <w:r>
        <w:t xml:space="preserve"> </w:t>
      </w:r>
      <w:r>
        <w:t xml:space="preserve">e consequente reintegração do trabalhador no seu posto de trabalho, com pagamento de salários em atraso, incluindo subsídios de férias e de Natal.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Subsidiariamente</w:t>
      </w:r>
      <w:r>
        <w:t xml:space="preserve">, caso a reintegração se revele inviável, condenação da empresa ao pagamento de indemnização por cessação ilícita do contrato, nos termos do artigo 351.º, n.º 2, do CT (valor equivalente a 12 meses de remuneração).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Condenação da empresa ao pagamento das custas judiciais e dos honorários de advogado</w:t>
      </w:r>
      <w:r>
        <w:t xml:space="preserve">, nos termos do artigo 20.º, n.º 2, do CPC.</w:t>
      </w:r>
    </w:p>
    <w:p>
      <w:r>
        <w:pict>
          <v:rect style="width:0;height:1.5pt" o:hralign="center" o:hrstd="t" o:hr="t"/>
        </w:pict>
      </w:r>
    </w:p>
    <w:bookmarkEnd w:id="16"/>
    <w:bookmarkStart w:id="17" w:name="vi.-assinaturas"/>
    <w:p>
      <w:pPr>
        <w:pStyle w:val="Heading3"/>
      </w:pPr>
      <w:r>
        <w:t xml:space="preserve">VI. Assinaturas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Advogado</w:t>
            </w:r>
          </w:p>
        </w:tc>
        <w:tc>
          <w:tcPr/>
          <w:p>
            <w:pPr>
              <w:pStyle w:val="Compact"/>
            </w:pPr>
            <w:r>
              <w:t xml:space="preserve">Nº da Ordem dos Advogados</w:t>
            </w:r>
          </w:p>
        </w:tc>
        <w:tc>
          <w:tcPr/>
          <w:p>
            <w:pPr>
              <w:pStyle w:val="Compact"/>
            </w:pPr>
            <w:r>
              <w:t xml:space="preserve">Assinatura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 António Ribeiro</w:t>
            </w:r>
          </w:p>
        </w:tc>
        <w:tc>
          <w:tcPr/>
          <w:p>
            <w:pPr>
              <w:pStyle w:val="Compact"/>
            </w:pPr>
            <w:r>
              <w:t xml:space="preserve">OA 12345</w:t>
            </w:r>
          </w:p>
        </w:tc>
        <w:tc>
          <w:tcPr/>
          <w:p>
            <w:pPr>
              <w:pStyle w:val="Compact"/>
            </w:pPr>
            <w:r>
              <w:t xml:space="preserve">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Dra. Sofia Carvalho</w:t>
            </w:r>
          </w:p>
        </w:tc>
        <w:tc>
          <w:tcPr/>
          <w:p>
            <w:pPr>
              <w:pStyle w:val="Compact"/>
            </w:pPr>
            <w:r>
              <w:t xml:space="preserve">OA 67890</w:t>
            </w:r>
          </w:p>
        </w:tc>
        <w:tc>
          <w:tcPr/>
          <w:p>
            <w:pPr>
              <w:pStyle w:val="Compact"/>
            </w:pPr>
            <w:r>
              <w:t xml:space="preserve">_______________________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Este parecer foi elaborado com base nos documentos constantes dos autos, na legislação aplicável e na jurisprudência pertinente até à data da sua redação.</w:t>
      </w:r>
    </w:p>
    <w:bookmarkEnd w:id="17"/>
    <w:bookmarkEnd w:id="18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2026-02-22T18:50:39Z</dcterms:created>
  <dcterms:modified xsi:type="dcterms:W3CDTF">2026-02-22T18:50:39Z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